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A9E8" w14:textId="7A18DCA8" w:rsidR="000A5453" w:rsidRPr="009A0ADA" w:rsidRDefault="000A5453" w:rsidP="000A545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3F0B29">
        <w:rPr>
          <w:rFonts w:ascii="Arial" w:hAnsi="Arial" w:cs="Arial"/>
          <w:b/>
          <w:bCs/>
          <w:sz w:val="22"/>
          <w:szCs w:val="22"/>
          <w:lang w:val="en-GB"/>
        </w:rPr>
        <w:t>DEPARTMENT OF A</w:t>
      </w:r>
      <w:r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GRICULTURE, LAND REFORM AND RURAL DEVELOPMENT</w:t>
      </w:r>
    </w:p>
    <w:p w14:paraId="389608AA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6ED7445C" w14:textId="7E1CD942" w:rsidR="000A5453" w:rsidRPr="009A0ADA" w:rsidRDefault="000A5453" w:rsidP="00960390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No. R. 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960390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d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d/mm/yyyy</w:t>
      </w:r>
    </w:p>
    <w:p w14:paraId="53667F1F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1E27B24A" w14:textId="77777777" w:rsidR="000A5453" w:rsidRPr="009A0ADA" w:rsidRDefault="000A5453" w:rsidP="000A5453">
      <w:pPr>
        <w:jc w:val="center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9A0ADA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AGRICULTURAL PRODUCT STANDARDS ACT, 1990 (ACT No. 119 OF 1990)</w:t>
      </w:r>
    </w:p>
    <w:p w14:paraId="73EF752E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446F5DAC" w14:textId="03D5DE7F" w:rsidR="000A5453" w:rsidRPr="009A0ADA" w:rsidRDefault="000A5453" w:rsidP="000A545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REGULATIONS REGARDING THE CLASSIFICATION</w:t>
      </w:r>
      <w:r w:rsidRPr="009A0ADA">
        <w:rPr>
          <w:rFonts w:ascii="Arial" w:hAnsi="Arial" w:cs="Arial"/>
          <w:color w:val="000000" w:themeColor="text1"/>
          <w:sz w:val="20"/>
          <w:szCs w:val="20"/>
        </w:rPr>
        <w:t>,</w:t>
      </w:r>
      <w:r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PACKING AND MARKING OF </w:t>
      </w:r>
      <w:r w:rsidR="00327294"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CERTAIN RAW </w:t>
      </w:r>
      <w:r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PROCESSED MEAT PRODUCTS INTENDED FOR SALE IN THE REPUBLIC OF SOUTH AFRICA</w:t>
      </w:r>
      <w:r w:rsidR="009C0596"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: AMENDMENT</w:t>
      </w:r>
    </w:p>
    <w:p w14:paraId="7F6961FA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08E0B380" w14:textId="1A428060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</w:pP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The Minister </w:t>
      </w:r>
      <w:r w:rsidR="009C0596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for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Agriculture, Land Reform and Rural Development has under section 15 of the Agricultural Product Standards Act, 1990 (Act No. 119 of 1990),</w:t>
      </w:r>
      <w:r w:rsidR="00577975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made the regulations in the schedule.</w:t>
      </w:r>
    </w:p>
    <w:p w14:paraId="2F52FCC2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7FA11862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1CD276BA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0B0ECA21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60200241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654A4175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52FEE1DA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721B1EBB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0D569796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4177A8BD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28EEA2D3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3FE1020B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5CAB9EAD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1589E522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2934AA81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4DF561A8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5CD794C6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44B0A76B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2F6D0518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547A0052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1484C630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44A8EA69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63542FE7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3DA151D8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1D00B13A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773ECAC9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104CCA87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0EDA58D8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2E1EAA5D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1DD54497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55D5FF75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1C4543A4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55046DD7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02F1D8A0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6C9F20B4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5B36DD89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0AFE503E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49807BE7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3061A711" w14:textId="77777777" w:rsidR="009C0596" w:rsidRPr="009A0ADA" w:rsidRDefault="009C0596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5DFB040D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3B6FB37E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4330C154" w14:textId="77777777" w:rsidR="004262D2" w:rsidRPr="009A0ADA" w:rsidRDefault="004262D2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78EAABA8" w14:textId="77777777" w:rsidR="004262D2" w:rsidRPr="009A0ADA" w:rsidRDefault="004262D2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5822E269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2872A149" w14:textId="77777777" w:rsidR="000A5453" w:rsidRPr="009A0ADA" w:rsidRDefault="000A5453" w:rsidP="000A5453">
      <w:pPr>
        <w:widowControl/>
        <w:tabs>
          <w:tab w:val="left" w:pos="3722"/>
        </w:tabs>
        <w:snapToGrid w:val="0"/>
        <w:jc w:val="both"/>
        <w:rPr>
          <w:rFonts w:ascii="Arial" w:hAnsi="Arial" w:cs="Arial"/>
          <w:color w:val="000000" w:themeColor="text1"/>
          <w:sz w:val="20"/>
          <w:szCs w:val="20"/>
          <w:lang w:val="en-GB"/>
          <w14:ligatures w14:val="none"/>
        </w:rPr>
      </w:pPr>
      <w:r w:rsidRPr="009A0ADA">
        <w:rPr>
          <w:rFonts w:ascii="Arial" w:hAnsi="Arial" w:cs="Arial"/>
          <w:color w:val="000000" w:themeColor="text1"/>
          <w:sz w:val="20"/>
          <w:szCs w:val="20"/>
          <w:lang w:val="en-GB"/>
          <w14:ligatures w14:val="none"/>
        </w:rPr>
        <w:t>A.T. Didiza</w:t>
      </w:r>
    </w:p>
    <w:p w14:paraId="50A2397F" w14:textId="0BAA9D5F" w:rsidR="000A5453" w:rsidRPr="009A0ADA" w:rsidRDefault="000A5453" w:rsidP="000A5453">
      <w:pPr>
        <w:widowControl/>
        <w:tabs>
          <w:tab w:val="left" w:pos="3722"/>
        </w:tabs>
        <w:snapToGrid w:val="0"/>
        <w:jc w:val="both"/>
        <w:rPr>
          <w:rFonts w:ascii="Arial" w:hAnsi="Arial" w:cs="Arial"/>
          <w:color w:val="000000" w:themeColor="text1"/>
          <w:sz w:val="20"/>
          <w:szCs w:val="20"/>
          <w:lang w:val="en-GB"/>
          <w14:ligatures w14:val="none"/>
        </w:rPr>
      </w:pPr>
      <w:r w:rsidRPr="009A0ADA">
        <w:rPr>
          <w:rFonts w:ascii="Arial" w:hAnsi="Arial" w:cs="Arial"/>
          <w:color w:val="000000" w:themeColor="text1"/>
          <w:sz w:val="20"/>
          <w:szCs w:val="20"/>
          <w:lang w:val="en-GB"/>
          <w14:ligatures w14:val="none"/>
        </w:rPr>
        <w:t xml:space="preserve">Minister </w:t>
      </w:r>
      <w:r w:rsidR="009C0596" w:rsidRPr="009A0ADA">
        <w:rPr>
          <w:rFonts w:ascii="Arial" w:hAnsi="Arial" w:cs="Arial"/>
          <w:color w:val="000000" w:themeColor="text1"/>
          <w:sz w:val="20"/>
          <w:szCs w:val="20"/>
          <w:lang w:val="en-GB"/>
          <w14:ligatures w14:val="none"/>
        </w:rPr>
        <w:t>for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  <w14:ligatures w14:val="none"/>
        </w:rPr>
        <w:t xml:space="preserve"> Agriculture, Land Reform and Rural Development</w:t>
      </w:r>
    </w:p>
    <w:p w14:paraId="467CD65F" w14:textId="77777777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highlight w:val="yellow"/>
          <w:lang w:val="en-GB"/>
        </w:rPr>
      </w:pPr>
    </w:p>
    <w:p w14:paraId="2D8FCE04" w14:textId="2D60A704" w:rsidR="000A5453" w:rsidRPr="009A0ADA" w:rsidRDefault="000A5453" w:rsidP="000A5453">
      <w:pPr>
        <w:jc w:val="both"/>
        <w:rPr>
          <w:rFonts w:ascii="Arial" w:hAnsi="Arial" w:cs="Arial"/>
          <w:strike/>
          <w:color w:val="000000" w:themeColor="text1"/>
          <w:sz w:val="20"/>
          <w:szCs w:val="20"/>
          <w:lang w:val="en-GB"/>
        </w:rPr>
      </w:pPr>
    </w:p>
    <w:p w14:paraId="019A27AD" w14:textId="77777777" w:rsidR="000A5453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F7BB80" w14:textId="77777777" w:rsidR="00584B98" w:rsidRPr="009A0ADA" w:rsidRDefault="00584B98" w:rsidP="000A545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963BC1" w14:textId="77777777" w:rsidR="000A5453" w:rsidRPr="009A0ADA" w:rsidRDefault="000A5453" w:rsidP="000A545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</w:p>
    <w:p w14:paraId="577F1170" w14:textId="77777777" w:rsidR="000A5453" w:rsidRPr="009A0ADA" w:rsidRDefault="000A5453" w:rsidP="000A545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lastRenderedPageBreak/>
        <w:t>SCHEDULE</w:t>
      </w:r>
    </w:p>
    <w:p w14:paraId="0C327064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eastAsia="x-none"/>
        </w:rPr>
      </w:pPr>
    </w:p>
    <w:p w14:paraId="060E728A" w14:textId="77777777" w:rsidR="000A5453" w:rsidRPr="009A0ADA" w:rsidRDefault="000A5453" w:rsidP="000A5453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bookmarkStart w:id="0" w:name="_Hlk142991389"/>
      <w:r w:rsidRPr="009A0ADA">
        <w:rPr>
          <w:rFonts w:ascii="Arial" w:hAnsi="Arial" w:cs="Arial"/>
          <w:b/>
          <w:i/>
          <w:color w:val="000000" w:themeColor="text1"/>
          <w:sz w:val="20"/>
          <w:szCs w:val="20"/>
        </w:rPr>
        <w:t>Definitions</w:t>
      </w:r>
    </w:p>
    <w:bookmarkEnd w:id="0"/>
    <w:p w14:paraId="734CD32C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654E4448" w14:textId="30F9C271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1.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In th</w:t>
      </w:r>
      <w:r w:rsidR="009C0596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is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Schedule “</w:t>
      </w:r>
      <w:r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the Regulations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” means the regulations published by Government Notice No. R. </w:t>
      </w:r>
      <w:r w:rsidR="009C0596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2410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of </w:t>
      </w:r>
      <w:r w:rsidR="009C0596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26 August 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20</w:t>
      </w:r>
      <w:r w:rsidR="009C0596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22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14:paraId="069E5D65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04719A00" w14:textId="77777777" w:rsidR="000A5453" w:rsidRPr="009A0ADA" w:rsidRDefault="000A5453" w:rsidP="000A5453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9A0ADA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Amendment of regulation 1 of the Regulations</w:t>
      </w:r>
    </w:p>
    <w:p w14:paraId="152DAF38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14A7BA2F" w14:textId="61C032BF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2. 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 xml:space="preserve">Regulation 1 of the </w:t>
      </w:r>
      <w:r w:rsidR="004337FC">
        <w:rPr>
          <w:rFonts w:ascii="Arial" w:hAnsi="Arial" w:cs="Arial"/>
          <w:color w:val="000000" w:themeColor="text1"/>
          <w:sz w:val="20"/>
          <w:szCs w:val="20"/>
          <w:lang w:val="en-GB"/>
        </w:rPr>
        <w:t>R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egulation is hereby amended by –</w:t>
      </w:r>
    </w:p>
    <w:p w14:paraId="019E5174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31A78158" w14:textId="728AFC2D" w:rsidR="000A5453" w:rsidRPr="009A0ADA" w:rsidRDefault="000A5453" w:rsidP="000A545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the insertion after the definition of </w:t>
      </w:r>
      <w:r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“</w:t>
      </w:r>
      <w:r w:rsidR="00327294"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certain raw processed meat products</w:t>
      </w:r>
      <w:r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”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of the following definition:</w:t>
      </w:r>
    </w:p>
    <w:p w14:paraId="0219DB46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78AA7F71" w14:textId="0E423EB5" w:rsidR="0029328B" w:rsidRPr="009A0ADA" w:rsidRDefault="000A5453" w:rsidP="000A5453">
      <w:pPr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“</w:t>
      </w:r>
      <w:r w:rsidR="000008CF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“</w:t>
      </w:r>
      <w:r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close proximity</w:t>
      </w:r>
      <w:r w:rsidR="000008CF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”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means the immediate vicinity of or nearest/ closest/ next to, and which shall not be interrupted or separated by for example any wording, symbols, figures, lines, depictions, etc.;” ; </w:t>
      </w:r>
      <w:r w:rsidR="00327294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and</w:t>
      </w:r>
    </w:p>
    <w:p w14:paraId="04344A63" w14:textId="77777777" w:rsidR="0029328B" w:rsidRPr="009A0ADA" w:rsidRDefault="0029328B" w:rsidP="0029328B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34FDC44A" w14:textId="124BC5A1" w:rsidR="000A5453" w:rsidRPr="009A0ADA" w:rsidRDefault="0029328B" w:rsidP="00293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the deletion of the definition for </w:t>
      </w:r>
      <w:r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“meat analogue</w:t>
      </w:r>
      <w:r w:rsidR="00487F14"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”</w:t>
      </w:r>
      <w:r w:rsidR="00327294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14:paraId="1CC77710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2B2F7542" w14:textId="77777777" w:rsidR="000A5453" w:rsidRPr="009A0ADA" w:rsidRDefault="000A5453" w:rsidP="000A5453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bookmarkStart w:id="1" w:name="_Hlk142993856"/>
      <w:r w:rsidRPr="009A0ADA">
        <w:rPr>
          <w:rFonts w:ascii="Arial" w:hAnsi="Arial" w:cs="Arial"/>
          <w:b/>
          <w:i/>
          <w:color w:val="000000" w:themeColor="text1"/>
          <w:sz w:val="20"/>
          <w:szCs w:val="20"/>
        </w:rPr>
        <w:t>Amendment of regulation 2 of the Regulations</w:t>
      </w:r>
    </w:p>
    <w:bookmarkEnd w:id="1"/>
    <w:p w14:paraId="56B233A6" w14:textId="77777777" w:rsidR="000A5453" w:rsidRPr="009A0ADA" w:rsidRDefault="000A5453" w:rsidP="000A5453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4DABFF8F" w14:textId="5F231A3C" w:rsidR="00487F14" w:rsidRPr="009A0ADA" w:rsidRDefault="000A5453" w:rsidP="000A5453">
      <w:pPr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9A0ADA">
        <w:rPr>
          <w:rFonts w:ascii="Arial" w:hAnsi="Arial" w:cs="Arial"/>
          <w:bCs/>
          <w:iCs/>
          <w:color w:val="000000" w:themeColor="text1"/>
          <w:sz w:val="20"/>
          <w:szCs w:val="20"/>
        </w:rPr>
        <w:t>3.</w:t>
      </w:r>
      <w:r w:rsidRPr="009A0ADA">
        <w:rPr>
          <w:rFonts w:ascii="Arial" w:hAnsi="Arial" w:cs="Arial"/>
          <w:b/>
          <w:iCs/>
          <w:color w:val="000000" w:themeColor="text1"/>
          <w:sz w:val="20"/>
          <w:szCs w:val="20"/>
        </w:rPr>
        <w:tab/>
      </w:r>
      <w:r w:rsidRPr="009A0ADA">
        <w:rPr>
          <w:rFonts w:ascii="Arial" w:hAnsi="Arial" w:cs="Arial"/>
          <w:bCs/>
          <w:iCs/>
          <w:color w:val="000000" w:themeColor="text1"/>
          <w:sz w:val="20"/>
          <w:szCs w:val="20"/>
        </w:rPr>
        <w:t>Regulation 2 of the Regulations is hereby amended by</w:t>
      </w:r>
      <w:r w:rsidR="00327294" w:rsidRPr="009A0ADA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deletion of subregulation (2)(c).</w:t>
      </w:r>
      <w:r w:rsidRPr="009A0ADA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</w:p>
    <w:p w14:paraId="13D345BF" w14:textId="77777777" w:rsidR="000A5453" w:rsidRPr="009A0ADA" w:rsidRDefault="000A5453" w:rsidP="000A5453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4E772E2B" w14:textId="7F79753B" w:rsidR="00B1466A" w:rsidRDefault="0074270D" w:rsidP="000A5453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bookmarkStart w:id="2" w:name="_Hlk142994530"/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Amendment of regulation </w:t>
      </w:r>
      <w:r w:rsidR="00010891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3 of the Regulations</w:t>
      </w:r>
    </w:p>
    <w:p w14:paraId="3A5232B1" w14:textId="77777777" w:rsidR="00010891" w:rsidRDefault="00010891" w:rsidP="000A5453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</w:p>
    <w:p w14:paraId="1891D310" w14:textId="13DFEE87" w:rsidR="00010891" w:rsidRPr="00010891" w:rsidRDefault="00010891" w:rsidP="000A5453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4.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Regulation 3 of the Regulations is hereby amended by deletion </w:t>
      </w:r>
      <w:r w:rsidR="00EC552B">
        <w:rPr>
          <w:rFonts w:ascii="Arial" w:hAnsi="Arial" w:cs="Arial"/>
          <w:bCs/>
          <w:color w:val="000000" w:themeColor="text1"/>
          <w:sz w:val="20"/>
          <w:szCs w:val="20"/>
        </w:rPr>
        <w:t>of subregulation (3)</w:t>
      </w:r>
      <w:r w:rsidR="009524F2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6C2EF28" w14:textId="77777777" w:rsidR="00464333" w:rsidRDefault="00464333" w:rsidP="000A5453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</w:p>
    <w:p w14:paraId="2B2761D7" w14:textId="2EEB6F91" w:rsidR="000A5453" w:rsidRPr="009A0ADA" w:rsidRDefault="000A5453" w:rsidP="000A5453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9A0ADA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Amendment of regulation </w:t>
      </w:r>
      <w:r w:rsidR="004262AA" w:rsidRPr="009A0ADA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8</w:t>
      </w:r>
      <w:r w:rsidRPr="009A0ADA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of the Regulations</w:t>
      </w:r>
    </w:p>
    <w:bookmarkEnd w:id="2"/>
    <w:p w14:paraId="20E14A73" w14:textId="77777777" w:rsidR="000A5453" w:rsidRPr="009A0ADA" w:rsidRDefault="000A5453" w:rsidP="000A5453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7DF1F358" w14:textId="5BECD1B7" w:rsidR="000A5453" w:rsidRPr="009A0ADA" w:rsidRDefault="009524F2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5</w:t>
      </w:r>
      <w:r w:rsidR="000A5453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 w:rsidR="000A5453"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ab/>
      </w:r>
      <w:r w:rsidR="000A5453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Regulation </w:t>
      </w:r>
      <w:r w:rsidR="004262AA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8</w:t>
      </w:r>
      <w:r w:rsidR="000A5453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of the Regulations is hereby amended by insertion of the following subregulation</w:t>
      </w:r>
      <w:r w:rsidR="004262AA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after subregulation (</w:t>
      </w:r>
      <w:r w:rsidR="009A0ADA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4</w:t>
      </w:r>
      <w:r w:rsidR="004262AA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)(d)</w:t>
      </w:r>
      <w:r w:rsidR="000A5453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:</w:t>
      </w:r>
    </w:p>
    <w:p w14:paraId="46116171" w14:textId="77777777" w:rsidR="000A5453" w:rsidRPr="009A0ADA" w:rsidRDefault="000A5453" w:rsidP="000A545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4B67E8C" w14:textId="0B00A38D" w:rsidR="000A5453" w:rsidRPr="009A0ADA" w:rsidRDefault="000A5453" w:rsidP="004262AA">
      <w:pPr>
        <w:ind w:left="144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“(e)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 xml:space="preserve">the price of the </w:t>
      </w:r>
      <w:r w:rsidR="004262AA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raw 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processed meat product</w:t>
      </w:r>
      <w:r w:rsidR="006A0D10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”</w:t>
      </w:r>
      <w:r w:rsidR="00577975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 </w:t>
      </w:r>
    </w:p>
    <w:p w14:paraId="61302B33" w14:textId="77777777" w:rsidR="00577975" w:rsidRDefault="00577975" w:rsidP="004262AA">
      <w:pPr>
        <w:ind w:right="-755"/>
        <w:rPr>
          <w:rFonts w:ascii="Arial" w:hAnsi="Arial" w:cs="Arial"/>
          <w:color w:val="000000" w:themeColor="text1"/>
          <w:sz w:val="20"/>
          <w:szCs w:val="20"/>
        </w:rPr>
      </w:pPr>
    </w:p>
    <w:p w14:paraId="344D4AAB" w14:textId="77777777" w:rsidR="00342764" w:rsidRPr="00BB6AA8" w:rsidRDefault="00342764" w:rsidP="00342764">
      <w:pPr>
        <w:ind w:right="-755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BB6AA8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Amendment of regulation </w:t>
      </w: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15</w:t>
      </w:r>
      <w:r w:rsidRPr="00BB6AA8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of the Regulations</w:t>
      </w:r>
    </w:p>
    <w:p w14:paraId="143656CB" w14:textId="77777777" w:rsidR="00342764" w:rsidRDefault="00342764" w:rsidP="00342764">
      <w:pPr>
        <w:ind w:right="-755"/>
        <w:rPr>
          <w:rFonts w:ascii="Arial" w:hAnsi="Arial" w:cs="Arial"/>
          <w:color w:val="000000" w:themeColor="text1"/>
          <w:sz w:val="20"/>
          <w:szCs w:val="20"/>
        </w:rPr>
      </w:pPr>
    </w:p>
    <w:p w14:paraId="03AC66F7" w14:textId="7D242574" w:rsidR="00342764" w:rsidRDefault="00342764" w:rsidP="00342764">
      <w:pPr>
        <w:ind w:right="-75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6.</w:t>
      </w:r>
      <w:r>
        <w:rPr>
          <w:rFonts w:ascii="Arial" w:hAnsi="Arial" w:cs="Arial"/>
          <w:color w:val="000000" w:themeColor="text1"/>
          <w:sz w:val="20"/>
          <w:szCs w:val="20"/>
        </w:rPr>
        <w:tab/>
        <w:t>Regulation 15 of the Regulations is hereby amended by insertion of the following subregulation after subregulation (2):</w:t>
      </w:r>
    </w:p>
    <w:p w14:paraId="07F6D492" w14:textId="77777777" w:rsidR="00342764" w:rsidRDefault="00342764" w:rsidP="00342764">
      <w:pPr>
        <w:ind w:right="-755"/>
        <w:rPr>
          <w:rFonts w:ascii="Arial" w:hAnsi="Arial" w:cs="Arial"/>
          <w:color w:val="000000" w:themeColor="text1"/>
          <w:sz w:val="20"/>
          <w:szCs w:val="20"/>
        </w:rPr>
      </w:pPr>
    </w:p>
    <w:p w14:paraId="2345996B" w14:textId="77777777" w:rsidR="00342764" w:rsidRDefault="00342764" w:rsidP="00342764">
      <w:pPr>
        <w:ind w:left="2552" w:right="-755" w:hanging="11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“(3)     (a)     The total meat content shall not differ by less than two percent from the prescribed meat content for that specific raw processed meat product.</w:t>
      </w:r>
    </w:p>
    <w:p w14:paraId="401B5013" w14:textId="77777777" w:rsidR="00342764" w:rsidRDefault="00342764" w:rsidP="00342764">
      <w:pPr>
        <w:ind w:left="2552" w:right="-755" w:hanging="1134"/>
        <w:rPr>
          <w:rFonts w:ascii="Arial" w:hAnsi="Arial" w:cs="Arial"/>
          <w:color w:val="000000" w:themeColor="text1"/>
          <w:sz w:val="20"/>
          <w:szCs w:val="20"/>
        </w:rPr>
      </w:pPr>
    </w:p>
    <w:p w14:paraId="72DBB733" w14:textId="77777777" w:rsidR="00342764" w:rsidRDefault="00342764" w:rsidP="00342764">
      <w:pPr>
        <w:ind w:left="2552" w:right="-755" w:hanging="11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(b)     The fat content (as analysed) shall not differ by more than two percent from the prescribed fat content for that specific raw processed meat product.”</w:t>
      </w:r>
    </w:p>
    <w:p w14:paraId="21243BB1" w14:textId="77777777" w:rsidR="00342764" w:rsidRDefault="00342764" w:rsidP="00577975">
      <w:pPr>
        <w:ind w:right="-755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</w:p>
    <w:p w14:paraId="592EFB36" w14:textId="4EBF6F78" w:rsidR="00577975" w:rsidRPr="009A0ADA" w:rsidRDefault="00577975" w:rsidP="00577975">
      <w:pPr>
        <w:ind w:right="-755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9A0ADA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Commencement </w:t>
      </w:r>
    </w:p>
    <w:p w14:paraId="4B0E7820" w14:textId="77777777" w:rsidR="00577975" w:rsidRPr="009A0ADA" w:rsidRDefault="00577975" w:rsidP="00577975">
      <w:pPr>
        <w:ind w:right="-755"/>
        <w:rPr>
          <w:rFonts w:ascii="Arial" w:hAnsi="Arial" w:cs="Arial"/>
          <w:color w:val="000000" w:themeColor="text1"/>
          <w:sz w:val="20"/>
          <w:szCs w:val="20"/>
          <w14:ligatures w14:val="none"/>
        </w:rPr>
      </w:pPr>
    </w:p>
    <w:p w14:paraId="34196E7B" w14:textId="00370D31" w:rsidR="00577975" w:rsidRPr="009A0ADA" w:rsidRDefault="00342764" w:rsidP="00577975">
      <w:pPr>
        <w:ind w:right="-755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7</w:t>
      </w:r>
      <w:r w:rsidR="00577975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 w:rsidR="00577975" w:rsidRPr="009A0ADA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ab/>
      </w:r>
      <w:r w:rsidR="00577975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These regulations shall come into operation </w:t>
      </w:r>
      <w:r w:rsidR="00D40932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>on</w:t>
      </w:r>
      <w:r w:rsidR="00577975" w:rsidRPr="009A0AD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 date of publication thereof. </w:t>
      </w:r>
    </w:p>
    <w:p w14:paraId="708688AC" w14:textId="77777777" w:rsidR="00577975" w:rsidRDefault="00577975" w:rsidP="00577975">
      <w:pPr>
        <w:ind w:right="-755"/>
      </w:pPr>
    </w:p>
    <w:sectPr w:rsidR="00577975" w:rsidSect="009C0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2F28" w14:textId="77777777" w:rsidR="001F4626" w:rsidRDefault="001F4626" w:rsidP="00584B98">
      <w:r>
        <w:separator/>
      </w:r>
    </w:p>
  </w:endnote>
  <w:endnote w:type="continuationSeparator" w:id="0">
    <w:p w14:paraId="627AA451" w14:textId="77777777" w:rsidR="001F4626" w:rsidRDefault="001F4626" w:rsidP="0058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EF5E" w14:textId="77777777" w:rsidR="00584B98" w:rsidRDefault="00584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7B13" w14:textId="77777777" w:rsidR="00584B98" w:rsidRDefault="00584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D90D" w14:textId="77777777" w:rsidR="00584B98" w:rsidRDefault="00584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55AB" w14:textId="77777777" w:rsidR="001F4626" w:rsidRDefault="001F4626" w:rsidP="00584B98">
      <w:r>
        <w:separator/>
      </w:r>
    </w:p>
  </w:footnote>
  <w:footnote w:type="continuationSeparator" w:id="0">
    <w:p w14:paraId="0E4E631D" w14:textId="77777777" w:rsidR="001F4626" w:rsidRDefault="001F4626" w:rsidP="0058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6294" w14:textId="77777777" w:rsidR="00584B98" w:rsidRDefault="00584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754538"/>
      <w:docPartObj>
        <w:docPartGallery w:val="Watermarks"/>
        <w:docPartUnique/>
      </w:docPartObj>
    </w:sdtPr>
    <w:sdtEndPr/>
    <w:sdtContent>
      <w:p w14:paraId="28D5A3D3" w14:textId="43A87FAC" w:rsidR="00584B98" w:rsidRDefault="006A0D10">
        <w:pPr>
          <w:pStyle w:val="Header"/>
        </w:pPr>
        <w:r>
          <w:rPr>
            <w:noProof/>
          </w:rPr>
          <w:pict w14:anchorId="298982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C1C" w14:textId="77777777" w:rsidR="00584B98" w:rsidRDefault="00584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25E"/>
    <w:multiLevelType w:val="hybridMultilevel"/>
    <w:tmpl w:val="F1F4E3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21C3"/>
    <w:multiLevelType w:val="hybridMultilevel"/>
    <w:tmpl w:val="C8A4B1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2A4"/>
    <w:multiLevelType w:val="hybridMultilevel"/>
    <w:tmpl w:val="AFACE6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10785"/>
    <w:multiLevelType w:val="hybridMultilevel"/>
    <w:tmpl w:val="5B36B7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0820"/>
    <w:multiLevelType w:val="hybridMultilevel"/>
    <w:tmpl w:val="20E68E52"/>
    <w:lvl w:ilvl="0" w:tplc="B252A9B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EE59F5"/>
    <w:multiLevelType w:val="hybridMultilevel"/>
    <w:tmpl w:val="857C85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D2407"/>
    <w:multiLevelType w:val="hybridMultilevel"/>
    <w:tmpl w:val="943C6A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B52F7"/>
    <w:multiLevelType w:val="hybridMultilevel"/>
    <w:tmpl w:val="209A2CFC"/>
    <w:lvl w:ilvl="0" w:tplc="36BEA5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D695E"/>
    <w:multiLevelType w:val="hybridMultilevel"/>
    <w:tmpl w:val="A85EB68C"/>
    <w:lvl w:ilvl="0" w:tplc="ABD6C10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E723C"/>
    <w:multiLevelType w:val="hybridMultilevel"/>
    <w:tmpl w:val="E050EEE6"/>
    <w:lvl w:ilvl="0" w:tplc="2AF20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0058489">
    <w:abstractNumId w:val="9"/>
  </w:num>
  <w:num w:numId="2" w16cid:durableId="200746589">
    <w:abstractNumId w:val="4"/>
  </w:num>
  <w:num w:numId="3" w16cid:durableId="1594510341">
    <w:abstractNumId w:val="3"/>
  </w:num>
  <w:num w:numId="4" w16cid:durableId="766341088">
    <w:abstractNumId w:val="6"/>
  </w:num>
  <w:num w:numId="5" w16cid:durableId="713506003">
    <w:abstractNumId w:val="1"/>
  </w:num>
  <w:num w:numId="6" w16cid:durableId="548104498">
    <w:abstractNumId w:val="0"/>
  </w:num>
  <w:num w:numId="7" w16cid:durableId="2048412815">
    <w:abstractNumId w:val="5"/>
  </w:num>
  <w:num w:numId="8" w16cid:durableId="1599368747">
    <w:abstractNumId w:val="2"/>
  </w:num>
  <w:num w:numId="9" w16cid:durableId="1468813677">
    <w:abstractNumId w:val="7"/>
  </w:num>
  <w:num w:numId="10" w16cid:durableId="1199858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53"/>
    <w:rsid w:val="000008CF"/>
    <w:rsid w:val="00010891"/>
    <w:rsid w:val="0009130E"/>
    <w:rsid w:val="000A5453"/>
    <w:rsid w:val="000D560B"/>
    <w:rsid w:val="001F4626"/>
    <w:rsid w:val="0029328B"/>
    <w:rsid w:val="00327294"/>
    <w:rsid w:val="00342764"/>
    <w:rsid w:val="004262AA"/>
    <w:rsid w:val="004262D2"/>
    <w:rsid w:val="004337FC"/>
    <w:rsid w:val="00464333"/>
    <w:rsid w:val="00487F14"/>
    <w:rsid w:val="004F6373"/>
    <w:rsid w:val="00577975"/>
    <w:rsid w:val="00584B98"/>
    <w:rsid w:val="005A3CE6"/>
    <w:rsid w:val="006A0D10"/>
    <w:rsid w:val="006B6DA0"/>
    <w:rsid w:val="00716932"/>
    <w:rsid w:val="00722E55"/>
    <w:rsid w:val="0074270D"/>
    <w:rsid w:val="008B296E"/>
    <w:rsid w:val="009524F2"/>
    <w:rsid w:val="00960390"/>
    <w:rsid w:val="009A0ADA"/>
    <w:rsid w:val="009C0596"/>
    <w:rsid w:val="00A75A13"/>
    <w:rsid w:val="00B1466A"/>
    <w:rsid w:val="00C71392"/>
    <w:rsid w:val="00C9724E"/>
    <w:rsid w:val="00D40932"/>
    <w:rsid w:val="00D63374"/>
    <w:rsid w:val="00D80C3F"/>
    <w:rsid w:val="00DE7758"/>
    <w:rsid w:val="00EC552B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299318"/>
  <w15:chartTrackingRefBased/>
  <w15:docId w15:val="{8CB9368C-ADCF-432B-90AE-2F38F28F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5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B98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98"/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1FD636700C6489EE89E467D962B16" ma:contentTypeVersion="5" ma:contentTypeDescription="Create a new document." ma:contentTypeScope="" ma:versionID="4c94f50f7795bf577cc154da37d102ba">
  <xsd:schema xmlns:xsd="http://www.w3.org/2001/XMLSchema" xmlns:xs="http://www.w3.org/2001/XMLSchema" xmlns:p="http://schemas.microsoft.com/office/2006/metadata/properties" xmlns:ns3="7dd65c53-d4c9-4e27-93b5-2577c57793b9" targetNamespace="http://schemas.microsoft.com/office/2006/metadata/properties" ma:root="true" ma:fieldsID="0d2b766c414754c255eede966c6d19aa" ns3:_="">
    <xsd:import namespace="7dd65c53-d4c9-4e27-93b5-2577c5779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65c53-d4c9-4e27-93b5-2577c5779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96C40-D017-4B6D-9F98-1C3CFB68F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9E0B2-925E-463E-AA2A-BC700474E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65c53-d4c9-4e27-93b5-2577c5779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BB506-7989-4A63-A8F4-76C17CC09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Simphiwe Mathenjwa</dc:creator>
  <cp:keywords/>
  <dc:description/>
  <cp:lastModifiedBy>Simphiwe Mathenjwa</cp:lastModifiedBy>
  <cp:revision>3</cp:revision>
  <cp:lastPrinted>2024-04-10T06:38:00Z</cp:lastPrinted>
  <dcterms:created xsi:type="dcterms:W3CDTF">2024-04-13T04:44:00Z</dcterms:created>
  <dcterms:modified xsi:type="dcterms:W3CDTF">2024-04-14T08:43:00Z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0x01010041D1FD636700C6489EE89E467D962B16</vt:lpwstr>
  </property>
</Properties>
</file>